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AD" w:rsidRPr="00B014A4" w:rsidRDefault="007570AD" w:rsidP="007570AD">
      <w:pPr>
        <w:widowControl/>
        <w:jc w:val="center"/>
        <w:rPr>
          <w:rFonts w:ascii="微软雅黑" w:eastAsia="微软雅黑" w:hAnsi="微软雅黑" w:cs="宋体"/>
          <w:b/>
          <w:kern w:val="0"/>
          <w:sz w:val="36"/>
          <w:szCs w:val="36"/>
        </w:rPr>
      </w:pPr>
      <w:r w:rsidRPr="007570AD"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>304002</w:t>
      </w:r>
      <w:r w:rsidRPr="00B014A4"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>《</w:t>
      </w:r>
      <w:r w:rsidRPr="007570AD"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>梅花坑端砚板</w:t>
      </w:r>
      <w:r w:rsidRPr="00B014A4"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>》</w:t>
      </w:r>
      <w:r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>藏品说明书</w:t>
      </w:r>
    </w:p>
    <w:p w:rsidR="007570AD" w:rsidRPr="00B10081" w:rsidRDefault="007570AD" w:rsidP="007570AD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0198A" w:rsidRPr="00C24543" w:rsidRDefault="007570AD" w:rsidP="0020198A">
      <w:pPr>
        <w:ind w:left="1440" w:hangingChars="600" w:hanging="1440"/>
        <w:rPr>
          <w:rFonts w:ascii="微软雅黑" w:eastAsia="微软雅黑" w:hAnsi="微软雅黑" w:cs="宋体"/>
          <w:kern w:val="0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【藏品名称】</w:t>
      </w:r>
      <w:r w:rsidRPr="00C24543">
        <w:rPr>
          <w:rFonts w:ascii="微软雅黑" w:eastAsia="微软雅黑" w:hAnsi="微软雅黑" w:cs="宋体" w:hint="eastAsia"/>
          <w:kern w:val="0"/>
          <w:sz w:val="24"/>
          <w:szCs w:val="24"/>
        </w:rPr>
        <w:t>梅花坑端砚板</w:t>
      </w:r>
    </w:p>
    <w:p w:rsidR="007570AD" w:rsidRPr="00C24543" w:rsidRDefault="0020198A" w:rsidP="0020198A">
      <w:pPr>
        <w:ind w:left="1440" w:hangingChars="600" w:hanging="1440"/>
        <w:rPr>
          <w:rFonts w:ascii="微软雅黑" w:eastAsia="微软雅黑" w:hAnsi="微软雅黑" w:cs="宋体"/>
          <w:sz w:val="24"/>
          <w:szCs w:val="21"/>
        </w:rPr>
      </w:pPr>
      <w:r w:rsidRPr="00C24543">
        <w:rPr>
          <w:rFonts w:ascii="微软雅黑" w:eastAsia="微软雅黑" w:hAnsi="微软雅黑" w:cs="宋体" w:hint="eastAsia"/>
          <w:sz w:val="24"/>
          <w:szCs w:val="21"/>
        </w:rPr>
        <w:t>【交易代码】304002</w:t>
      </w:r>
    </w:p>
    <w:p w:rsidR="007570AD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【藏品类别】</w:t>
      </w:r>
      <w:r w:rsidR="00AD5EF2" w:rsidRPr="00C24543">
        <w:rPr>
          <w:rFonts w:ascii="微软雅黑" w:eastAsia="微软雅黑" w:hAnsi="微软雅黑" w:cs="宋体" w:hint="eastAsia"/>
          <w:sz w:val="24"/>
          <w:szCs w:val="24"/>
        </w:rPr>
        <w:t>材料类</w:t>
      </w:r>
    </w:p>
    <w:p w:rsidR="007570AD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【发行时间】2016年</w:t>
      </w:r>
    </w:p>
    <w:p w:rsidR="007570AD" w:rsidRPr="00C24543" w:rsidRDefault="007570AD" w:rsidP="007570AD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【总发行数量】</w:t>
      </w:r>
      <w:r w:rsidRPr="00C24543">
        <w:rPr>
          <w:rFonts w:ascii="微软雅黑" w:eastAsia="微软雅黑" w:hAnsi="微软雅黑" w:cs="宋体" w:hint="eastAsia"/>
          <w:kern w:val="0"/>
          <w:sz w:val="24"/>
          <w:szCs w:val="24"/>
        </w:rPr>
        <w:t>30方/箱，共1000箱，总计30000方。</w:t>
      </w:r>
    </w:p>
    <w:p w:rsidR="0020198A" w:rsidRPr="00C24543" w:rsidRDefault="0020198A" w:rsidP="0020198A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kern w:val="0"/>
          <w:sz w:val="24"/>
          <w:szCs w:val="24"/>
        </w:rPr>
        <w:t>【藏品规格】长12.5厘米、宽8厘米、厚1.5厘米</w:t>
      </w:r>
    </w:p>
    <w:p w:rsidR="007570AD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【首日挂牌指导价】45元/方</w:t>
      </w:r>
    </w:p>
    <w:p w:rsidR="007570AD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【挂牌交易量】</w:t>
      </w:r>
      <w:r w:rsidR="0036009D" w:rsidRPr="00C24543">
        <w:rPr>
          <w:rFonts w:ascii="微软雅黑" w:eastAsia="微软雅黑" w:hAnsi="微软雅黑" w:cs="宋体" w:hint="eastAsia"/>
          <w:sz w:val="24"/>
          <w:szCs w:val="24"/>
        </w:rPr>
        <w:t>30000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方（2016年</w:t>
      </w:r>
      <w:r w:rsidR="000F49FD" w:rsidRPr="00C24543">
        <w:rPr>
          <w:rFonts w:ascii="微软雅黑" w:eastAsia="微软雅黑" w:hAnsi="微软雅黑" w:cs="宋体" w:hint="eastAsia"/>
          <w:sz w:val="24"/>
          <w:szCs w:val="24"/>
        </w:rPr>
        <w:t>9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月</w:t>
      </w:r>
      <w:r w:rsidR="0020198A" w:rsidRPr="00C24543">
        <w:rPr>
          <w:rFonts w:ascii="微软雅黑" w:eastAsia="微软雅黑" w:hAnsi="微软雅黑" w:cs="宋体" w:hint="eastAsia"/>
          <w:sz w:val="24"/>
          <w:szCs w:val="24"/>
        </w:rPr>
        <w:t>28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日正式挂牌交易，其中发行申购量</w:t>
      </w:r>
      <w:r w:rsidR="0036009D" w:rsidRPr="00C24543">
        <w:rPr>
          <w:rFonts w:ascii="微软雅黑" w:eastAsia="微软雅黑" w:hAnsi="微软雅黑" w:cs="宋体" w:hint="eastAsia"/>
          <w:sz w:val="24"/>
          <w:szCs w:val="24"/>
        </w:rPr>
        <w:t>15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00方）</w:t>
      </w:r>
    </w:p>
    <w:p w:rsidR="007570AD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Helvetica" w:hint="eastAsia"/>
          <w:kern w:val="0"/>
          <w:sz w:val="24"/>
        </w:rPr>
        <w:t>【交易单位】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方</w:t>
      </w:r>
    </w:p>
    <w:p w:rsidR="007570AD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【最小价格</w:t>
      </w:r>
      <w:r w:rsidR="0020198A" w:rsidRPr="00C24543">
        <w:rPr>
          <w:rFonts w:ascii="微软雅黑" w:eastAsia="微软雅黑" w:hAnsi="微软雅黑" w:cs="宋体" w:hint="eastAsia"/>
          <w:sz w:val="24"/>
          <w:szCs w:val="24"/>
        </w:rPr>
        <w:t>变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动】</w:t>
      </w:r>
      <w:r w:rsidR="0036009D" w:rsidRPr="00C24543">
        <w:rPr>
          <w:rFonts w:ascii="微软雅黑" w:eastAsia="微软雅黑" w:hAnsi="微软雅黑" w:cs="宋体" w:hint="eastAsia"/>
          <w:sz w:val="24"/>
          <w:szCs w:val="24"/>
        </w:rPr>
        <w:t>0.01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元</w:t>
      </w:r>
    </w:p>
    <w:p w:rsidR="007570AD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【最小提货量】</w:t>
      </w:r>
      <w:r w:rsidR="0036009D" w:rsidRPr="00C24543">
        <w:rPr>
          <w:rFonts w:ascii="微软雅黑" w:eastAsia="微软雅黑" w:hAnsi="微软雅黑" w:cs="Helvetica" w:hint="eastAsia"/>
          <w:kern w:val="0"/>
          <w:sz w:val="24"/>
        </w:rPr>
        <w:t>30</w:t>
      </w:r>
      <w:r w:rsidRPr="00C24543">
        <w:rPr>
          <w:rFonts w:ascii="微软雅黑" w:eastAsia="微软雅黑" w:hAnsi="微软雅黑" w:cs="Helvetica" w:hint="eastAsia"/>
          <w:kern w:val="0"/>
          <w:sz w:val="24"/>
        </w:rPr>
        <w:t>方</w:t>
      </w:r>
    </w:p>
    <w:p w:rsidR="00C24543" w:rsidRPr="00C24543" w:rsidRDefault="007570AD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【提货方式】每持有</w:t>
      </w:r>
      <w:r w:rsidR="0036009D" w:rsidRPr="00C24543">
        <w:rPr>
          <w:rFonts w:ascii="微软雅黑" w:eastAsia="微软雅黑" w:hAnsi="微软雅黑" w:cs="宋体" w:hint="eastAsia"/>
          <w:sz w:val="24"/>
          <w:szCs w:val="24"/>
        </w:rPr>
        <w:t>30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个交易单位可提货一</w:t>
      </w:r>
      <w:r w:rsidR="0020198A" w:rsidRPr="00C24543">
        <w:rPr>
          <w:rFonts w:ascii="微软雅黑" w:eastAsia="微软雅黑" w:hAnsi="微软雅黑" w:cs="宋体" w:hint="eastAsia"/>
          <w:sz w:val="24"/>
          <w:szCs w:val="24"/>
        </w:rPr>
        <w:t>箱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，</w:t>
      </w:r>
      <w:proofErr w:type="gramStart"/>
      <w:r w:rsidRPr="00C24543">
        <w:rPr>
          <w:rFonts w:ascii="微软雅黑" w:eastAsia="微软雅黑" w:hAnsi="微软雅黑" w:cs="宋体" w:hint="eastAsia"/>
          <w:sz w:val="24"/>
          <w:szCs w:val="24"/>
        </w:rPr>
        <w:t>按</w:t>
      </w:r>
      <w:r w:rsidR="0020198A" w:rsidRPr="00C24543">
        <w:rPr>
          <w:rFonts w:ascii="微软雅黑" w:eastAsia="微软雅黑" w:hAnsi="微软雅黑" w:cs="宋体" w:hint="eastAsia"/>
          <w:sz w:val="24"/>
          <w:szCs w:val="24"/>
        </w:rPr>
        <w:t>箱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随机</w:t>
      </w:r>
      <w:proofErr w:type="gramEnd"/>
      <w:r w:rsidRPr="00C24543">
        <w:rPr>
          <w:rFonts w:ascii="微软雅黑" w:eastAsia="微软雅黑" w:hAnsi="微软雅黑" w:cs="宋体" w:hint="eastAsia"/>
          <w:sz w:val="24"/>
          <w:szCs w:val="24"/>
        </w:rPr>
        <w:t>提货。</w:t>
      </w:r>
    </w:p>
    <w:p w:rsidR="0020198A" w:rsidRPr="00C24543" w:rsidRDefault="0020198A" w:rsidP="007570AD">
      <w:pPr>
        <w:rPr>
          <w:rFonts w:ascii="微软雅黑" w:eastAsia="微软雅黑" w:hAnsi="微软雅黑" w:cs="宋体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sz w:val="24"/>
          <w:szCs w:val="24"/>
        </w:rPr>
        <w:t>【交易方式】按方交易，</w:t>
      </w:r>
      <w:proofErr w:type="gramStart"/>
      <w:r w:rsidRPr="00C24543">
        <w:rPr>
          <w:rFonts w:ascii="微软雅黑" w:eastAsia="微软雅黑" w:hAnsi="微软雅黑" w:cs="宋体" w:hint="eastAsia"/>
          <w:sz w:val="24"/>
          <w:szCs w:val="24"/>
        </w:rPr>
        <w:t>按箱交割</w:t>
      </w:r>
      <w:proofErr w:type="gramEnd"/>
      <w:r w:rsidR="00AA6140">
        <w:rPr>
          <w:rFonts w:ascii="微软雅黑" w:eastAsia="微软雅黑" w:hAnsi="微软雅黑" w:cs="宋体" w:hint="eastAsia"/>
          <w:sz w:val="24"/>
          <w:szCs w:val="24"/>
        </w:rPr>
        <w:t xml:space="preserve"> </w:t>
      </w:r>
    </w:p>
    <w:p w:rsidR="0020198A" w:rsidRPr="00C24543" w:rsidRDefault="0020198A" w:rsidP="0020198A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4543">
        <w:rPr>
          <w:rFonts w:ascii="微软雅黑" w:eastAsia="微软雅黑" w:hAnsi="微软雅黑" w:cs="宋体" w:hint="eastAsia"/>
          <w:kern w:val="0"/>
          <w:sz w:val="24"/>
          <w:szCs w:val="24"/>
        </w:rPr>
        <w:t>【藏品图片】</w:t>
      </w:r>
    </w:p>
    <w:p w:rsidR="0020198A" w:rsidRDefault="0020198A" w:rsidP="0020198A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szCs w:val="24"/>
        </w:rPr>
      </w:pPr>
      <w:r>
        <w:rPr>
          <w:rFonts w:ascii="微软雅黑" w:eastAsia="微软雅黑" w:hAnsi="微软雅黑" w:cs="宋体" w:hint="eastAsia"/>
          <w:noProof/>
          <w:szCs w:val="24"/>
        </w:rPr>
        <w:drawing>
          <wp:inline distT="0" distB="0" distL="0" distR="0" wp14:anchorId="7225D488" wp14:editId="30574CBC">
            <wp:extent cx="2362200" cy="1771650"/>
            <wp:effectExtent l="0" t="0" r="0" b="0"/>
            <wp:docPr id="2" name="图片 2" descr="184686014985099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1846860149850992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szCs w:val="24"/>
        </w:rPr>
        <w:t xml:space="preserve"> </w:t>
      </w:r>
      <w:r>
        <w:rPr>
          <w:rFonts w:ascii="微软雅黑" w:eastAsia="微软雅黑" w:hAnsi="微软雅黑" w:cs="宋体" w:hint="eastAsia"/>
          <w:noProof/>
          <w:szCs w:val="24"/>
        </w:rPr>
        <w:drawing>
          <wp:inline distT="0" distB="0" distL="0" distR="0" wp14:anchorId="20278E5B" wp14:editId="288D0C88">
            <wp:extent cx="2371725" cy="1781175"/>
            <wp:effectExtent l="0" t="0" r="9525" b="9525"/>
            <wp:docPr id="1" name="图片 1" descr="512275601031316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5122756010313160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B6" w:rsidRDefault="00644EB6" w:rsidP="00644EB6">
      <w:pPr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lastRenderedPageBreak/>
        <w:t>【鉴定</w:t>
      </w:r>
      <w:r w:rsidRPr="00C24543">
        <w:rPr>
          <w:rFonts w:ascii="微软雅黑" w:eastAsia="微软雅黑" w:hAnsi="微软雅黑" w:cs="宋体" w:hint="eastAsia"/>
          <w:sz w:val="24"/>
          <w:szCs w:val="24"/>
        </w:rPr>
        <w:t>证书】每箱砚板配有肇庆市端砚协会出具的含材质鉴定的证书一份</w:t>
      </w:r>
    </w:p>
    <w:p w:rsidR="00644EB6" w:rsidRPr="00644EB6" w:rsidRDefault="00644EB6" w:rsidP="0020198A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szCs w:val="24"/>
        </w:rPr>
      </w:pPr>
      <w:r>
        <w:rPr>
          <w:rFonts w:ascii="微软雅黑" w:eastAsia="微软雅黑" w:hAnsi="微软雅黑" w:cs="宋体"/>
          <w:noProof/>
          <w:szCs w:val="24"/>
        </w:rPr>
        <w:drawing>
          <wp:inline distT="0" distB="0" distL="0" distR="0" wp14:anchorId="3DA83B10" wp14:editId="79EE9D0A">
            <wp:extent cx="4848225" cy="3638284"/>
            <wp:effectExtent l="0" t="0" r="0" b="635"/>
            <wp:docPr id="4" name="图片 4" descr="79481954685164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94819546851647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91" cy="36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8A" w:rsidRPr="00AB5662" w:rsidRDefault="0020198A" w:rsidP="0020198A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44EB6">
        <w:rPr>
          <w:rFonts w:ascii="微软雅黑" w:eastAsia="微软雅黑" w:hAnsi="微软雅黑" w:cs="宋体" w:hint="eastAsia"/>
          <w:kern w:val="0"/>
          <w:sz w:val="24"/>
          <w:szCs w:val="24"/>
        </w:rPr>
        <w:t>【包装方式】包装方式：每</w:t>
      </w:r>
      <w:r w:rsidR="00D0683C">
        <w:rPr>
          <w:rFonts w:ascii="微软雅黑" w:eastAsia="微软雅黑" w:hAnsi="微软雅黑" w:cs="宋体" w:hint="eastAsia"/>
          <w:kern w:val="0"/>
          <w:sz w:val="24"/>
          <w:szCs w:val="24"/>
        </w:rPr>
        <w:t>3</w:t>
      </w:r>
      <w:r w:rsidRPr="00644EB6">
        <w:rPr>
          <w:rFonts w:ascii="微软雅黑" w:eastAsia="微软雅黑" w:hAnsi="微软雅黑" w:cs="宋体" w:hint="eastAsia"/>
          <w:kern w:val="0"/>
          <w:sz w:val="24"/>
          <w:szCs w:val="24"/>
        </w:rPr>
        <w:t>0方梅花坑砚板及</w:t>
      </w:r>
      <w:r w:rsidR="00BD3753">
        <w:rPr>
          <w:rFonts w:ascii="微软雅黑" w:eastAsia="微软雅黑" w:hAnsi="微软雅黑" w:cs="宋体" w:hint="eastAsia"/>
          <w:kern w:val="0"/>
          <w:sz w:val="24"/>
          <w:szCs w:val="24"/>
        </w:rPr>
        <w:t>1份</w:t>
      </w:r>
      <w:r w:rsidRPr="00644EB6">
        <w:rPr>
          <w:rFonts w:ascii="微软雅黑" w:eastAsia="微软雅黑" w:hAnsi="微软雅黑" w:cs="宋体" w:hint="eastAsia"/>
          <w:kern w:val="0"/>
          <w:sz w:val="24"/>
          <w:szCs w:val="24"/>
        </w:rPr>
        <w:t>证书为一箱，外箱为七层瓦楞纸</w:t>
      </w:r>
      <w:r w:rsidRPr="00AB5662">
        <w:rPr>
          <w:rFonts w:ascii="微软雅黑" w:eastAsia="微软雅黑" w:hAnsi="微软雅黑" w:cs="宋体" w:hint="eastAsia"/>
          <w:kern w:val="0"/>
          <w:sz w:val="24"/>
          <w:szCs w:val="24"/>
        </w:rPr>
        <w:t>印</w:t>
      </w:r>
      <w:proofErr w:type="gramStart"/>
      <w:r w:rsidRPr="00AB5662">
        <w:rPr>
          <w:rFonts w:ascii="微软雅黑" w:eastAsia="微软雅黑" w:hAnsi="微软雅黑" w:cs="宋体" w:hint="eastAsia"/>
          <w:kern w:val="0"/>
          <w:sz w:val="24"/>
          <w:szCs w:val="24"/>
        </w:rPr>
        <w:t>唛</w:t>
      </w:r>
      <w:proofErr w:type="gramEnd"/>
      <w:r w:rsidRPr="00AB5662">
        <w:rPr>
          <w:rFonts w:ascii="微软雅黑" w:eastAsia="微软雅黑" w:hAnsi="微软雅黑" w:cs="宋体" w:hint="eastAsia"/>
          <w:kern w:val="0"/>
          <w:sz w:val="24"/>
          <w:szCs w:val="24"/>
        </w:rPr>
        <w:t>，内胆为包装纸+泡沫安全包装。（附图为示意图）</w:t>
      </w:r>
    </w:p>
    <w:p w:rsidR="0020198A" w:rsidRDefault="0020198A" w:rsidP="0020198A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3838575" cy="26860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8A" w:rsidRPr="0020198A" w:rsidRDefault="0020198A" w:rsidP="0020198A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</w:p>
    <w:p w:rsidR="0020198A" w:rsidRPr="00644EB6" w:rsidRDefault="007570AD" w:rsidP="007570AD">
      <w:pPr>
        <w:rPr>
          <w:rFonts w:ascii="宋体" w:hAnsi="宋体" w:cs="Helvetica"/>
          <w:kern w:val="0"/>
          <w:sz w:val="24"/>
        </w:rPr>
      </w:pPr>
      <w:r w:rsidRPr="000270B3">
        <w:rPr>
          <w:rFonts w:ascii="微软雅黑" w:eastAsia="微软雅黑" w:hAnsi="微软雅黑" w:cs="宋体" w:hint="eastAsia"/>
          <w:sz w:val="24"/>
          <w:szCs w:val="24"/>
        </w:rPr>
        <w:t>【保管费】</w:t>
      </w:r>
      <w:r w:rsidRPr="000270B3">
        <w:rPr>
          <w:rFonts w:ascii="微软雅黑" w:eastAsia="微软雅黑" w:hAnsi="微软雅黑" w:cs="Helvetica" w:hint="eastAsia"/>
          <w:kern w:val="0"/>
          <w:sz w:val="24"/>
        </w:rPr>
        <w:t>按藏品持有期间市值的0.001%/</w:t>
      </w:r>
      <w:proofErr w:type="gramStart"/>
      <w:r w:rsidRPr="000270B3">
        <w:rPr>
          <w:rFonts w:ascii="微软雅黑" w:eastAsia="微软雅黑" w:hAnsi="微软雅黑" w:cs="Helvetica" w:hint="eastAsia"/>
          <w:kern w:val="0"/>
          <w:sz w:val="24"/>
        </w:rPr>
        <w:t>天计保管费</w:t>
      </w:r>
      <w:proofErr w:type="gramEnd"/>
      <w:r w:rsidRPr="000270B3">
        <w:rPr>
          <w:rFonts w:ascii="微软雅黑" w:eastAsia="微软雅黑" w:hAnsi="微软雅黑" w:cs="Helvetica" w:hint="eastAsia"/>
          <w:kern w:val="0"/>
          <w:sz w:val="24"/>
        </w:rPr>
        <w:t>（自挂牌交易日起一年内暂免收取），由交易所代扣代缴</w:t>
      </w:r>
      <w:r w:rsidRPr="000270B3">
        <w:rPr>
          <w:rFonts w:ascii="宋体" w:hAnsi="宋体" w:cs="Helvetica" w:hint="eastAsia"/>
          <w:kern w:val="0"/>
          <w:sz w:val="24"/>
        </w:rPr>
        <w:t>。</w:t>
      </w:r>
    </w:p>
    <w:p w:rsidR="000270B3" w:rsidRPr="00375E28" w:rsidRDefault="000270B3" w:rsidP="000270B3">
      <w:pPr>
        <w:spacing w:line="360" w:lineRule="auto"/>
        <w:rPr>
          <w:rFonts w:ascii="微软雅黑" w:eastAsia="微软雅黑" w:hAnsi="微软雅黑" w:cs="宋体"/>
          <w:b/>
          <w:bCs/>
          <w:sz w:val="24"/>
          <w:szCs w:val="21"/>
        </w:rPr>
      </w:pPr>
      <w:r w:rsidRPr="00375E28">
        <w:rPr>
          <w:rFonts w:ascii="微软雅黑" w:eastAsia="微软雅黑" w:hAnsi="微软雅黑" w:cs="宋体" w:hint="eastAsia"/>
          <w:b/>
          <w:bCs/>
          <w:sz w:val="24"/>
          <w:szCs w:val="21"/>
        </w:rPr>
        <w:lastRenderedPageBreak/>
        <w:t>藏品描述</w:t>
      </w:r>
    </w:p>
    <w:p w:rsidR="0020198A" w:rsidRPr="00644EB6" w:rsidRDefault="000F49FD" w:rsidP="00644EB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B5662">
        <w:rPr>
          <w:rFonts w:ascii="微软雅黑" w:eastAsia="微软雅黑" w:hAnsi="微软雅黑" w:cs="宋体" w:hint="eastAsia"/>
          <w:kern w:val="0"/>
          <w:sz w:val="24"/>
          <w:szCs w:val="24"/>
        </w:rPr>
        <w:t>为结合互联网+艺术品+金融的市场发展，由广州三泉投资管理有限公司具体承办，组织一批专用于</w:t>
      </w:r>
      <w:proofErr w:type="gramStart"/>
      <w:r w:rsidRPr="00AB5662">
        <w:rPr>
          <w:rFonts w:ascii="微软雅黑" w:eastAsia="微软雅黑" w:hAnsi="微软雅黑" w:cs="宋体" w:hint="eastAsia"/>
          <w:kern w:val="0"/>
          <w:sz w:val="24"/>
          <w:szCs w:val="24"/>
        </w:rPr>
        <w:t>南方文交所</w:t>
      </w:r>
      <w:proofErr w:type="gramEnd"/>
      <w:r w:rsidRPr="00AB5662">
        <w:rPr>
          <w:rFonts w:ascii="微软雅黑" w:eastAsia="微软雅黑" w:hAnsi="微软雅黑" w:cs="宋体" w:hint="eastAsia"/>
          <w:kern w:val="0"/>
          <w:sz w:val="24"/>
          <w:szCs w:val="24"/>
        </w:rPr>
        <w:t>艺术品交易中心上线交易的梅花坑端砚板材的原材料，可供端砚行业的经营者、端砚收藏爱好者、艺术工作者以及投资者在艺术品中心平台进行交易或交割。</w:t>
      </w:r>
    </w:p>
    <w:p w:rsidR="000270B3" w:rsidRPr="00AD2E52" w:rsidRDefault="000270B3" w:rsidP="000270B3">
      <w:pPr>
        <w:widowControl/>
        <w:spacing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270B3" w:rsidRPr="00A71933" w:rsidRDefault="000270B3" w:rsidP="000270B3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A7193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集藏价值</w:t>
      </w:r>
    </w:p>
    <w:p w:rsidR="0020198A" w:rsidRDefault="000F49FD" w:rsidP="00AD5EF2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宋体"/>
          <w:szCs w:val="24"/>
        </w:rPr>
      </w:pPr>
      <w:r w:rsidRPr="00AB5662">
        <w:rPr>
          <w:rFonts w:ascii="微软雅黑" w:eastAsia="微软雅黑" w:hAnsi="微软雅黑" w:cs="宋体" w:hint="eastAsia"/>
          <w:szCs w:val="24"/>
        </w:rPr>
        <w:t>梅花坑是端砚传统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的名坑之一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，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开坑采石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始自宋代，原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出自岭羊峡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以东的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高要沙浦典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水村附近，故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古人称典水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梅花坑。肇庆市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北郊北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岭山的九龙坑也有开采，据说与宋坑砚石同出一脉。梅花坑洞较深，洞内石分三格，上下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格石粗不能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作砚材，只有中间一格如无裂缝则可采用。梅花坑石以多眼为主要特点。梅花坑石质发墨快，滋润、细腻，石眼多而观赏性强，作品设计风格多种多样，可制作把玩砚，砚板的原材料可以为业界经营者、收藏者或投资者更多的设计空间，根据每一方砚板不同的天然石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纹进行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个性化的设计与制作，更符合收藏的需要。</w:t>
      </w:r>
    </w:p>
    <w:p w:rsidR="003940A5" w:rsidRPr="003940A5" w:rsidRDefault="003940A5" w:rsidP="003940A5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宋体"/>
          <w:szCs w:val="24"/>
        </w:rPr>
      </w:pPr>
      <w:r w:rsidRPr="00AB5662">
        <w:rPr>
          <w:rFonts w:ascii="微软雅黑" w:eastAsia="微软雅黑" w:hAnsi="微软雅黑" w:cs="宋体" w:hint="eastAsia"/>
          <w:szCs w:val="24"/>
        </w:rPr>
        <w:t>梅花砚石色泽呈苍灰白微带青黄色，亦有灰蓝带青紫色，其中有梅花点者为最佳。典水梅花坑采出的砚石多眼，形状以椭圆形为主，亦有圆形。大的有晕有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睛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，小的如天上繁星。梅花坑石眼有分翡翠眼、黄金眼、象牙眼、公鸡眼、象眼等像动物眼睛，生动形象非常受人喜爱。北岭山的梅花坑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砚石色苍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灰微带褐黄，形状以圆形为主，石眼多而大小均匀，石眼呈米黄色为主。梅花坑石质发墨快，滋润、细腻，石眼多而观赏性强，作品设计风格多种多样，可制作把玩砚、大型观赏砚，作品大气而有灵性，颇受收藏者喜爱。</w:t>
      </w:r>
    </w:p>
    <w:p w:rsidR="00457533" w:rsidRPr="00AB5662" w:rsidRDefault="00457533" w:rsidP="00457533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宋体"/>
          <w:szCs w:val="24"/>
        </w:rPr>
      </w:pPr>
      <w:r w:rsidRPr="00AB5662">
        <w:rPr>
          <w:rFonts w:ascii="微软雅黑" w:eastAsia="微软雅黑" w:hAnsi="微软雅黑" w:cs="宋体" w:hint="eastAsia"/>
          <w:szCs w:val="24"/>
        </w:rPr>
        <w:t>石料的稀缺性赋予端砚独特的收藏价值。据肇庆业内人士介绍，端砚原石历经约4亿年演变才得以成形，用端州砚石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材制作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的砚台才叫“端砚”。端砚石材</w:t>
      </w:r>
      <w:r w:rsidRPr="00AB5662">
        <w:rPr>
          <w:rFonts w:ascii="微软雅黑" w:eastAsia="微软雅黑" w:hAnsi="微软雅黑" w:cs="宋体" w:hint="eastAsia"/>
          <w:szCs w:val="24"/>
        </w:rPr>
        <w:lastRenderedPageBreak/>
        <w:t>蕴藏于广东肇庆市的斧柯山和北岭一带，经过1300多年开采，资源已近枯竭。为保护资源，1999年，肇庆市政府停止老坑开采，2000年，又全面停止对</w:t>
      </w:r>
      <w:proofErr w:type="gramStart"/>
      <w:r w:rsidRPr="00AB5662">
        <w:rPr>
          <w:rFonts w:ascii="微软雅黑" w:eastAsia="微软雅黑" w:hAnsi="微软雅黑" w:cs="宋体" w:hint="eastAsia"/>
          <w:szCs w:val="24"/>
        </w:rPr>
        <w:t>其余名坑的</w:t>
      </w:r>
      <w:proofErr w:type="gramEnd"/>
      <w:r w:rsidRPr="00AB5662">
        <w:rPr>
          <w:rFonts w:ascii="微软雅黑" w:eastAsia="微软雅黑" w:hAnsi="微软雅黑" w:cs="宋体" w:hint="eastAsia"/>
          <w:szCs w:val="24"/>
        </w:rPr>
        <w:t>开采。端砚进入“纯库存加工”时代。</w:t>
      </w:r>
      <w:r w:rsidRPr="00220525">
        <w:rPr>
          <w:rFonts w:ascii="微软雅黑" w:eastAsia="微软雅黑" w:hAnsi="微软雅黑" w:cs="宋体" w:hint="eastAsia"/>
          <w:szCs w:val="24"/>
        </w:rPr>
        <w:t>梅花</w:t>
      </w:r>
      <w:proofErr w:type="gramStart"/>
      <w:r w:rsidRPr="00220525">
        <w:rPr>
          <w:rFonts w:ascii="微软雅黑" w:eastAsia="微软雅黑" w:hAnsi="微软雅黑" w:cs="宋体" w:hint="eastAsia"/>
          <w:szCs w:val="24"/>
        </w:rPr>
        <w:t>坑大型</w:t>
      </w:r>
      <w:proofErr w:type="gramEnd"/>
      <w:r w:rsidRPr="00220525">
        <w:rPr>
          <w:rFonts w:ascii="微软雅黑" w:eastAsia="微软雅黑" w:hAnsi="微软雅黑" w:cs="宋体" w:hint="eastAsia"/>
          <w:szCs w:val="24"/>
        </w:rPr>
        <w:t>材料极为稀少，制作成砚</w:t>
      </w:r>
      <w:proofErr w:type="gramStart"/>
      <w:r w:rsidRPr="00220525">
        <w:rPr>
          <w:rFonts w:ascii="微软雅黑" w:eastAsia="微软雅黑" w:hAnsi="微软雅黑" w:cs="宋体" w:hint="eastAsia"/>
          <w:szCs w:val="24"/>
        </w:rPr>
        <w:t>板成本</w:t>
      </w:r>
      <w:proofErr w:type="gramEnd"/>
      <w:r w:rsidRPr="00220525">
        <w:rPr>
          <w:rFonts w:ascii="微软雅黑" w:eastAsia="微软雅黑" w:hAnsi="微软雅黑" w:cs="宋体" w:hint="eastAsia"/>
          <w:szCs w:val="24"/>
        </w:rPr>
        <w:t>过高，大部分的梅花坑砚台都是依</w:t>
      </w:r>
      <w:r>
        <w:rPr>
          <w:rFonts w:ascii="微软雅黑" w:eastAsia="微软雅黑" w:hAnsi="微软雅黑" w:cs="宋体" w:hint="eastAsia"/>
          <w:szCs w:val="24"/>
        </w:rPr>
        <w:t>照原石的形状进行设计和雕刻，所以自古以来，梅花坑的砚板就不多见。本次上市的</w:t>
      </w:r>
      <w:r w:rsidRPr="00220525">
        <w:rPr>
          <w:rFonts w:ascii="微软雅黑" w:eastAsia="微软雅黑" w:hAnsi="微软雅黑" w:cs="宋体" w:hint="eastAsia"/>
          <w:szCs w:val="24"/>
        </w:rPr>
        <w:t>梅花坑砚板</w:t>
      </w:r>
      <w:r>
        <w:rPr>
          <w:rFonts w:ascii="微软雅黑" w:eastAsia="微软雅黑" w:hAnsi="微软雅黑" w:cs="宋体" w:hint="eastAsia"/>
          <w:szCs w:val="24"/>
        </w:rPr>
        <w:t>尺寸较大，</w:t>
      </w:r>
      <w:r w:rsidRPr="00220525">
        <w:rPr>
          <w:rFonts w:ascii="微软雅黑" w:eastAsia="微软雅黑" w:hAnsi="微软雅黑" w:cs="宋体" w:hint="eastAsia"/>
          <w:szCs w:val="24"/>
        </w:rPr>
        <w:t>在收藏</w:t>
      </w:r>
      <w:r>
        <w:rPr>
          <w:rFonts w:ascii="微软雅黑" w:eastAsia="微软雅黑" w:hAnsi="微软雅黑" w:cs="宋体" w:hint="eastAsia"/>
          <w:szCs w:val="24"/>
        </w:rPr>
        <w:t>行业中是比较稀缺的，具有巨大的增值空间</w:t>
      </w:r>
      <w:r w:rsidRPr="00220525">
        <w:rPr>
          <w:rFonts w:ascii="微软雅黑" w:eastAsia="微软雅黑" w:hAnsi="微软雅黑" w:cs="宋体" w:hint="eastAsia"/>
          <w:szCs w:val="24"/>
        </w:rPr>
        <w:t>。</w:t>
      </w:r>
    </w:p>
    <w:p w:rsidR="000F49FD" w:rsidRPr="00457533" w:rsidRDefault="000F49FD" w:rsidP="000F49FD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宋体"/>
          <w:szCs w:val="24"/>
        </w:rPr>
      </w:pPr>
    </w:p>
    <w:p w:rsidR="007B393B" w:rsidRPr="000F49FD" w:rsidRDefault="007B393B">
      <w:bookmarkStart w:id="0" w:name="_GoBack"/>
      <w:bookmarkEnd w:id="0"/>
    </w:p>
    <w:sectPr w:rsidR="007B393B" w:rsidRPr="000F4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86" w:rsidRDefault="00B85886" w:rsidP="007570AD">
      <w:r>
        <w:separator/>
      </w:r>
    </w:p>
  </w:endnote>
  <w:endnote w:type="continuationSeparator" w:id="0">
    <w:p w:rsidR="00B85886" w:rsidRDefault="00B85886" w:rsidP="007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86" w:rsidRDefault="00B85886" w:rsidP="007570AD">
      <w:r>
        <w:separator/>
      </w:r>
    </w:p>
  </w:footnote>
  <w:footnote w:type="continuationSeparator" w:id="0">
    <w:p w:rsidR="00B85886" w:rsidRDefault="00B85886" w:rsidP="007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F"/>
    <w:rsid w:val="000270B3"/>
    <w:rsid w:val="00034566"/>
    <w:rsid w:val="000F49FD"/>
    <w:rsid w:val="0020198A"/>
    <w:rsid w:val="0036009D"/>
    <w:rsid w:val="003940A5"/>
    <w:rsid w:val="00457533"/>
    <w:rsid w:val="004E5078"/>
    <w:rsid w:val="006414CC"/>
    <w:rsid w:val="00644EB6"/>
    <w:rsid w:val="007570AD"/>
    <w:rsid w:val="007B393B"/>
    <w:rsid w:val="009361CD"/>
    <w:rsid w:val="009A3846"/>
    <w:rsid w:val="00A900FA"/>
    <w:rsid w:val="00AA6140"/>
    <w:rsid w:val="00AD5EF2"/>
    <w:rsid w:val="00AF35D0"/>
    <w:rsid w:val="00B85886"/>
    <w:rsid w:val="00BD3753"/>
    <w:rsid w:val="00C24543"/>
    <w:rsid w:val="00D0683C"/>
    <w:rsid w:val="00D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0AD"/>
    <w:rPr>
      <w:sz w:val="18"/>
      <w:szCs w:val="18"/>
    </w:rPr>
  </w:style>
  <w:style w:type="paragraph" w:styleId="a5">
    <w:name w:val="Normal (Web)"/>
    <w:basedOn w:val="a"/>
    <w:unhideWhenUsed/>
    <w:qFormat/>
    <w:rsid w:val="000270B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019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19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0AD"/>
    <w:rPr>
      <w:sz w:val="18"/>
      <w:szCs w:val="18"/>
    </w:rPr>
  </w:style>
  <w:style w:type="paragraph" w:styleId="a5">
    <w:name w:val="Normal (Web)"/>
    <w:basedOn w:val="a"/>
    <w:unhideWhenUsed/>
    <w:qFormat/>
    <w:rsid w:val="000270B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019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19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周晓雪</cp:lastModifiedBy>
  <cp:revision>7</cp:revision>
  <dcterms:created xsi:type="dcterms:W3CDTF">2016-09-18T08:03:00Z</dcterms:created>
  <dcterms:modified xsi:type="dcterms:W3CDTF">2016-09-20T06:35:00Z</dcterms:modified>
</cp:coreProperties>
</file>